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color w:val="000000"/>
          <w:sz w:val="32"/>
          <w:szCs w:val="48"/>
        </w:rPr>
      </w:pPr>
      <w:r>
        <w:rPr>
          <w:rFonts w:hint="eastAsia" w:ascii="黑体" w:hAnsi="黑体" w:eastAsia="黑体" w:cs="黑体"/>
          <w:bCs/>
          <w:color w:val="000000"/>
          <w:sz w:val="32"/>
          <w:szCs w:val="48"/>
        </w:rPr>
        <w:t>附件4</w:t>
      </w:r>
    </w:p>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中国新闻奖参评作品推荐表</w:t>
      </w:r>
    </w:p>
    <w:tbl>
      <w:tblPr>
        <w:tblStyle w:val="7"/>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377"/>
        <w:gridCol w:w="1302"/>
        <w:gridCol w:w="855"/>
        <w:gridCol w:w="1356"/>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exact"/>
          <w:jc w:val="center"/>
        </w:trPr>
        <w:tc>
          <w:tcPr>
            <w:tcW w:w="1450" w:type="dxa"/>
            <w:vMerge w:val="restart"/>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34"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华文中宋" w:hAnsi="华文中宋" w:eastAsia="华文中宋"/>
                <w:color w:val="000000"/>
                <w:sz w:val="28"/>
              </w:rPr>
            </w:pPr>
            <w:r>
              <w:rPr>
                <w:rFonts w:hint="eastAsia" w:ascii="仿宋" w:hAnsi="仿宋" w:eastAsia="仿宋"/>
                <w:color w:val="000000"/>
                <w:sz w:val="24"/>
                <w:szCs w:val="24"/>
                <w:lang w:val="en-US" w:eastAsia="zh-CN"/>
              </w:rPr>
              <w:t>中储粮与中粮联手组建新公司背后的分类改革逻辑</w:t>
            </w: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84" w:type="dxa"/>
            <w:vAlign w:val="center"/>
          </w:tcPr>
          <w:p>
            <w:pPr>
              <w:rPr>
                <w:rFonts w:hint="default" w:ascii="仿宋_GB2312" w:eastAsia="仿宋_GB2312"/>
                <w:color w:val="000000"/>
                <w:sz w:val="28"/>
                <w:lang w:val="en-US" w:eastAsia="zh-CN"/>
              </w:rPr>
            </w:pPr>
            <w:r>
              <w:rPr>
                <w:rFonts w:hint="eastAsia" w:ascii="仿宋_GB2312"/>
                <w:color w:val="000000"/>
                <w:sz w:val="28"/>
                <w:lang w:val="en-US" w:eastAsia="zh-CN"/>
              </w:rPr>
              <w:t>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exact"/>
          <w:jc w:val="center"/>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284" w:type="dxa"/>
            <w:vAlign w:val="center"/>
          </w:tcPr>
          <w:p>
            <w:pPr>
              <w:spacing w:line="260" w:lineRule="exact"/>
              <w:rPr>
                <w:rFonts w:ascii="仿宋_GB2312" w:hAnsi="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exact"/>
          <w:jc w:val="center"/>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284" w:type="dxa"/>
            <w:vAlign w:val="center"/>
          </w:tcPr>
          <w:p>
            <w:pPr>
              <w:spacing w:line="240" w:lineRule="atLeast"/>
              <w:rPr>
                <w:rFonts w:ascii="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4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4"/>
              </w:rPr>
              <w:t>（主创人员）</w:t>
            </w:r>
          </w:p>
        </w:tc>
        <w:tc>
          <w:tcPr>
            <w:tcW w:w="2679"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刘青山</w:t>
            </w:r>
          </w:p>
        </w:tc>
        <w:tc>
          <w:tcPr>
            <w:tcW w:w="855"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640" w:type="dxa"/>
            <w:gridSpan w:val="2"/>
            <w:vAlign w:val="center"/>
          </w:tcPr>
          <w:p>
            <w:pPr>
              <w:spacing w:line="240" w:lineRule="exact"/>
              <w:rPr>
                <w:rFonts w:ascii="仿宋" w:hAnsi="仿宋" w:eastAsia="仿宋"/>
                <w:color w:val="000000"/>
                <w:w w:val="9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450"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79"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《国资报告》杂志社</w:t>
            </w:r>
          </w:p>
        </w:tc>
        <w:tc>
          <w:tcPr>
            <w:tcW w:w="855" w:type="dxa"/>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刊播单位</w:t>
            </w:r>
          </w:p>
        </w:tc>
        <w:tc>
          <w:tcPr>
            <w:tcW w:w="464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《国资报告》杂志社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exact"/>
          <w:jc w:val="center"/>
        </w:trPr>
        <w:tc>
          <w:tcPr>
            <w:tcW w:w="1450" w:type="dxa"/>
            <w:vAlign w:val="center"/>
          </w:tcPr>
          <w:p>
            <w:pPr>
              <w:spacing w:line="44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79"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 w:hAnsi="仿宋" w:eastAsia="仿宋"/>
                <w:color w:val="000000"/>
                <w:sz w:val="24"/>
                <w:szCs w:val="24"/>
                <w:lang w:val="en-US" w:eastAsia="zh-CN"/>
              </w:rPr>
            </w:pPr>
          </w:p>
        </w:tc>
        <w:tc>
          <w:tcPr>
            <w:tcW w:w="855" w:type="dxa"/>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64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《国资报告》2022年第2期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exact"/>
          <w:jc w:val="center"/>
        </w:trPr>
        <w:tc>
          <w:tcPr>
            <w:tcW w:w="2827" w:type="dxa"/>
            <w:gridSpan w:val="2"/>
            <w:vAlign w:val="center"/>
          </w:tcPr>
          <w:p>
            <w:pPr>
              <w:spacing w:line="34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797" w:type="dxa"/>
            <w:gridSpan w:val="4"/>
            <w:vAlign w:val="center"/>
          </w:tcPr>
          <w:p>
            <w:pPr>
              <w:spacing w:line="260" w:lineRule="exact"/>
              <w:rPr>
                <w:rFonts w:ascii="华文中宋" w:hAnsi="华文中宋" w:eastAsia="华文中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50" w:type="dxa"/>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40" w:lineRule="exact"/>
              <w:jc w:val="center"/>
              <w:rPr>
                <w:rFonts w:ascii="华文中宋" w:hAnsi="华文中宋" w:eastAsia="华文中宋" w:cstheme="minorBidi"/>
                <w:color w:val="000000"/>
                <w:kern w:val="2"/>
                <w:sz w:val="28"/>
                <w:szCs w:val="24"/>
                <w:lang w:val="en-US" w:eastAsia="zh-CN" w:bidi="ar-SA"/>
              </w:rPr>
            </w:pPr>
            <w:r>
              <w:rPr>
                <w:rFonts w:hint="eastAsia" w:ascii="华文中宋" w:hAnsi="华文中宋" w:eastAsia="华文中宋"/>
                <w:color w:val="000000"/>
                <w:sz w:val="28"/>
              </w:rPr>
              <w:t xml:space="preserve">  ︶</w:t>
            </w:r>
          </w:p>
        </w:tc>
        <w:tc>
          <w:tcPr>
            <w:tcW w:w="8174" w:type="dxa"/>
            <w:gridSpan w:val="5"/>
            <w:vAlign w:val="center"/>
          </w:tcPr>
          <w:p>
            <w:pPr>
              <w:spacing w:line="240" w:lineRule="exact"/>
              <w:rPr>
                <w:rFonts w:hint="default" w:ascii="仿宋" w:hAnsi="仿宋" w:eastAsia="仿宋"/>
                <w:color w:val="000000"/>
                <w:szCs w:val="21"/>
              </w:rPr>
            </w:pPr>
            <w:r>
              <w:rPr>
                <w:rFonts w:hint="default" w:ascii="仿宋" w:hAnsi="仿宋" w:eastAsia="仿宋"/>
                <w:color w:val="000000"/>
                <w:szCs w:val="21"/>
              </w:rPr>
              <w:t xml:space="preserve">   </w:t>
            </w:r>
          </w:p>
          <w:p>
            <w:pPr>
              <w:spacing w:line="240" w:lineRule="exact"/>
              <w:ind w:firstLine="480" w:firstLineChars="200"/>
              <w:rPr>
                <w:rFonts w:hint="eastAsia" w:ascii="仿宋" w:hAnsi="仿宋" w:eastAsia="仿宋"/>
                <w:color w:val="000000"/>
                <w:sz w:val="24"/>
                <w:szCs w:val="24"/>
                <w:lang w:val="en-US" w:eastAsia="zh-Hans"/>
              </w:rPr>
            </w:pPr>
            <w:r>
              <w:rPr>
                <w:rFonts w:hint="default" w:ascii="仿宋" w:hAnsi="仿宋" w:eastAsia="仿宋"/>
                <w:color w:val="000000"/>
                <w:sz w:val="24"/>
                <w:szCs w:val="24"/>
              </w:rPr>
              <w:t>2022年1月25日，中储粮集团与中粮集团储备加工领域分类改革股权合作协议签约仪式在北京举行</w:t>
            </w:r>
            <w:r>
              <w:rPr>
                <w:rFonts w:hint="eastAsia" w:ascii="仿宋" w:hAnsi="仿宋" w:eastAsia="仿宋"/>
                <w:color w:val="000000"/>
                <w:sz w:val="24"/>
                <w:szCs w:val="24"/>
                <w:lang w:eastAsia="zh-Hans"/>
              </w:rPr>
              <w:t>。</w:t>
            </w:r>
            <w:r>
              <w:rPr>
                <w:rFonts w:hint="eastAsia" w:ascii="仿宋" w:hAnsi="仿宋" w:eastAsia="仿宋"/>
                <w:color w:val="000000"/>
                <w:sz w:val="24"/>
                <w:szCs w:val="24"/>
                <w:lang w:val="en-US" w:eastAsia="zh-Hans"/>
              </w:rPr>
              <w:t>受国资委改革局邀请，作者作为唯一一位媒体记者参与现场会议。会议结束后，作者相继采访了国资改革局有关负责人，以及中储粮集团、中粮集团有关负责人，了解了此次专业化整合的历史背景。整体来看，此次整合是一次比较敏感的合作，报道难度较大。</w:t>
            </w:r>
          </w:p>
          <w:p>
            <w:pPr>
              <w:spacing w:line="240" w:lineRule="exact"/>
              <w:ind w:firstLine="480" w:firstLineChars="200"/>
              <w:rPr>
                <w:rFonts w:hint="eastAsia" w:ascii="仿宋" w:hAnsi="仿宋" w:eastAsia="仿宋"/>
                <w:color w:val="000000"/>
                <w:sz w:val="24"/>
                <w:szCs w:val="24"/>
                <w:lang w:val="en-US" w:eastAsia="zh-Hans"/>
              </w:rPr>
            </w:pPr>
            <w:r>
              <w:rPr>
                <w:rFonts w:hint="eastAsia" w:ascii="仿宋" w:hAnsi="仿宋" w:eastAsia="仿宋"/>
                <w:color w:val="000000"/>
                <w:sz w:val="24"/>
                <w:szCs w:val="24"/>
                <w:lang w:val="en-US" w:eastAsia="zh-Hans"/>
              </w:rPr>
              <w:t>写作时，作者从整合的意义，整合的创新方式，以及整合后的发展展望三个角度进行报道。文章篇幅虽然不长，但信息量相对较大</w:t>
            </w:r>
            <w:r>
              <w:rPr>
                <w:rFonts w:hint="eastAsia" w:ascii="仿宋" w:hAnsi="仿宋" w:eastAsia="仿宋"/>
                <w:color w:val="000000"/>
                <w:sz w:val="24"/>
                <w:szCs w:val="24"/>
                <w:lang w:val="en-US" w:eastAsia="zh-CN"/>
              </w:rPr>
              <w:t>，以权威发布引导舆论</w:t>
            </w:r>
            <w:r>
              <w:rPr>
                <w:rFonts w:hint="eastAsia" w:ascii="仿宋" w:hAnsi="仿宋" w:eastAsia="仿宋"/>
                <w:color w:val="000000"/>
                <w:sz w:val="24"/>
                <w:szCs w:val="24"/>
                <w:lang w:val="en-US" w:eastAsia="zh-Hans"/>
              </w:rPr>
              <w:t>。</w:t>
            </w:r>
          </w:p>
          <w:p>
            <w:pPr>
              <w:ind w:firstLine="420" w:firstLineChars="0"/>
              <w:rPr>
                <w:rFonts w:ascii="仿宋" w:hAnsi="仿宋" w:eastAsia="仿宋" w:cstheme="minorBidi"/>
                <w:color w:val="000000"/>
                <w:w w:val="95"/>
                <w:kern w:val="2"/>
                <w:sz w:val="21"/>
                <w:szCs w:val="21"/>
                <w:lang w:val="en-US" w:eastAsia="zh-CN" w:bidi="ar-SA"/>
              </w:rPr>
            </w:pPr>
            <w:r>
              <w:rPr>
                <w:rFonts w:hint="eastAsia" w:ascii="仿宋" w:hAnsi="仿宋" w:eastAsia="仿宋"/>
                <w:color w:val="000000"/>
                <w:sz w:val="24"/>
                <w:szCs w:val="24"/>
                <w:lang w:val="en-US" w:eastAsia="zh-CN"/>
              </w:rPr>
              <w:t>该</w:t>
            </w:r>
            <w:r>
              <w:rPr>
                <w:rFonts w:hint="eastAsia" w:ascii="仿宋" w:hAnsi="仿宋" w:eastAsia="仿宋"/>
                <w:color w:val="000000"/>
                <w:sz w:val="24"/>
                <w:szCs w:val="24"/>
                <w:lang w:val="en-US" w:eastAsia="zh-Hans"/>
              </w:rPr>
              <w:t>文首先在《国资报告》微信</w:t>
            </w:r>
            <w:r>
              <w:rPr>
                <w:rFonts w:hint="eastAsia" w:ascii="仿宋" w:hAnsi="仿宋" w:eastAsia="仿宋"/>
                <w:color w:val="000000"/>
                <w:sz w:val="24"/>
                <w:szCs w:val="24"/>
                <w:lang w:val="en-US" w:eastAsia="zh-CN"/>
              </w:rPr>
              <w:t>公</w:t>
            </w:r>
            <w:r>
              <w:rPr>
                <w:rFonts w:hint="eastAsia" w:ascii="仿宋" w:hAnsi="仿宋" w:eastAsia="仿宋"/>
                <w:color w:val="000000"/>
                <w:sz w:val="24"/>
                <w:szCs w:val="24"/>
                <w:lang w:val="en-US" w:eastAsia="zh-Hans"/>
              </w:rPr>
              <w:t>号上</w:t>
            </w:r>
            <w:r>
              <w:rPr>
                <w:rFonts w:hint="eastAsia" w:ascii="仿宋" w:hAnsi="仿宋" w:eastAsia="仿宋"/>
                <w:color w:val="000000"/>
                <w:sz w:val="24"/>
                <w:szCs w:val="24"/>
                <w:lang w:val="en-US" w:eastAsia="zh-CN"/>
              </w:rPr>
              <w:t>及时</w:t>
            </w:r>
            <w:r>
              <w:rPr>
                <w:rFonts w:hint="eastAsia" w:ascii="仿宋" w:hAnsi="仿宋" w:eastAsia="仿宋"/>
                <w:color w:val="000000"/>
                <w:sz w:val="24"/>
                <w:szCs w:val="24"/>
                <w:lang w:val="en-US" w:eastAsia="zh-Hans"/>
              </w:rPr>
              <w:t>刊发，然后在杂志上</w:t>
            </w:r>
            <w:r>
              <w:rPr>
                <w:rFonts w:hint="eastAsia" w:ascii="仿宋" w:hAnsi="仿宋" w:eastAsia="仿宋"/>
                <w:color w:val="000000"/>
                <w:sz w:val="24"/>
                <w:szCs w:val="24"/>
                <w:lang w:val="en-US" w:eastAsia="zh-CN"/>
              </w:rPr>
              <w:t>重点</w:t>
            </w:r>
            <w:r>
              <w:rPr>
                <w:rFonts w:hint="eastAsia" w:ascii="仿宋" w:hAnsi="仿宋" w:eastAsia="仿宋"/>
                <w:color w:val="000000"/>
                <w:sz w:val="24"/>
                <w:szCs w:val="24"/>
                <w:lang w:val="en-US" w:eastAsia="zh-Hans"/>
              </w:rPr>
              <w:t>刊发</w:t>
            </w:r>
            <w:r>
              <w:rPr>
                <w:rFonts w:hint="eastAsia" w:ascii="仿宋" w:hAnsi="仿宋" w:eastAsia="仿宋"/>
                <w:color w:val="000000"/>
                <w:sz w:val="24"/>
                <w:szCs w:val="24"/>
                <w:lang w:val="en-US" w:eastAsia="zh-CN"/>
              </w:rPr>
              <w:t>,</w:t>
            </w:r>
            <w:r>
              <w:rPr>
                <w:rFonts w:hint="eastAsia" w:ascii="仿宋" w:hAnsi="仿宋" w:eastAsia="仿宋"/>
                <w:color w:val="000000"/>
                <w:sz w:val="24"/>
                <w:szCs w:val="24"/>
                <w:lang w:val="en-US" w:eastAsia="zh-Hans"/>
              </w:rPr>
              <w:t>得到了</w:t>
            </w:r>
            <w:r>
              <w:rPr>
                <w:rFonts w:hint="eastAsia" w:ascii="仿宋" w:hAnsi="仿宋" w:eastAsia="仿宋"/>
                <w:color w:val="000000"/>
                <w:sz w:val="24"/>
                <w:szCs w:val="24"/>
                <w:lang w:val="en-US" w:eastAsia="zh-CN"/>
              </w:rPr>
              <w:t>国务院</w:t>
            </w:r>
            <w:r>
              <w:rPr>
                <w:rFonts w:hint="eastAsia" w:ascii="仿宋" w:hAnsi="仿宋" w:eastAsia="仿宋"/>
                <w:color w:val="000000"/>
                <w:sz w:val="24"/>
                <w:szCs w:val="24"/>
                <w:lang w:val="en-US" w:eastAsia="zh-Hans"/>
              </w:rPr>
              <w:t>国资委有关领导的高度评价</w:t>
            </w:r>
            <w:r>
              <w:rPr>
                <w:rFonts w:hint="eastAsia" w:ascii="仿宋" w:hAnsi="仿宋" w:eastAsia="仿宋"/>
                <w:color w:val="000000"/>
                <w:sz w:val="24"/>
                <w:szCs w:val="24"/>
                <w:lang w:val="en-US" w:eastAsia="zh-CN"/>
              </w:rPr>
              <w:t>和</w:t>
            </w:r>
            <w:r>
              <w:rPr>
                <w:rFonts w:hint="eastAsia" w:ascii="仿宋" w:hAnsi="仿宋" w:eastAsia="仿宋"/>
                <w:color w:val="000000"/>
                <w:sz w:val="24"/>
                <w:szCs w:val="24"/>
                <w:lang w:val="en-US" w:eastAsia="zh-Hans"/>
              </w:rPr>
              <w:t>相关企业的充分认可。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3" w:hRule="exact"/>
          <w:jc w:val="center"/>
        </w:trPr>
        <w:tc>
          <w:tcPr>
            <w:tcW w:w="1450"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80" w:lineRule="exact"/>
              <w:jc w:val="center"/>
              <w:rPr>
                <w:rFonts w:ascii="华文中宋" w:hAnsi="华文中宋" w:eastAsia="华文中宋" w:cstheme="minorBidi"/>
                <w:color w:val="000000"/>
                <w:kern w:val="2"/>
                <w:sz w:val="28"/>
                <w:szCs w:val="24"/>
                <w:lang w:val="en-US" w:eastAsia="zh-CN" w:bidi="ar-SA"/>
              </w:rPr>
            </w:pPr>
            <w:r>
              <w:rPr>
                <w:rFonts w:hint="eastAsia" w:ascii="华文中宋" w:hAnsi="华文中宋" w:eastAsia="华文中宋"/>
                <w:color w:val="000000"/>
                <w:sz w:val="28"/>
              </w:rPr>
              <w:t>果</w:t>
            </w:r>
          </w:p>
        </w:tc>
        <w:tc>
          <w:tcPr>
            <w:tcW w:w="8174" w:type="dxa"/>
            <w:gridSpan w:val="5"/>
            <w:vAlign w:val="center"/>
          </w:tcPr>
          <w:p>
            <w:pPr>
              <w:ind w:firstLine="480" w:firstLineChars="200"/>
            </w:pPr>
            <w:r>
              <w:rPr>
                <w:rFonts w:hint="default" w:ascii="仿宋" w:hAnsi="仿宋" w:eastAsia="仿宋" w:cs="仿宋"/>
                <w:color w:val="000000"/>
                <w:sz w:val="24"/>
                <w:szCs w:val="18"/>
                <w:lang w:eastAsia="zh-Hans"/>
              </w:rPr>
              <w:t>2022</w:t>
            </w:r>
            <w:r>
              <w:rPr>
                <w:rFonts w:hint="eastAsia" w:ascii="仿宋" w:hAnsi="仿宋" w:eastAsia="仿宋" w:cs="仿宋"/>
                <w:color w:val="000000"/>
                <w:sz w:val="24"/>
                <w:szCs w:val="18"/>
                <w:lang w:val="en-US" w:eastAsia="zh-Hans"/>
              </w:rPr>
              <w:t>年开始，国资委高度重视推动专业化整合工作。</w:t>
            </w:r>
            <w:r>
              <w:rPr>
                <w:rFonts w:hint="eastAsia" w:ascii="仿宋" w:hAnsi="仿宋" w:eastAsia="仿宋" w:cs="仿宋"/>
                <w:color w:val="000000"/>
                <w:sz w:val="24"/>
                <w:szCs w:val="18"/>
                <w:lang w:eastAsia="zh-Hans"/>
              </w:rPr>
              <w:t>与以往相比，</w:t>
            </w:r>
            <w:r>
              <w:rPr>
                <w:rFonts w:hint="default" w:ascii="仿宋" w:hAnsi="仿宋" w:eastAsia="仿宋" w:cs="仿宋"/>
                <w:color w:val="000000"/>
                <w:sz w:val="24"/>
                <w:szCs w:val="18"/>
                <w:lang w:eastAsia="zh-Hans"/>
              </w:rPr>
              <w:t>2022</w:t>
            </w:r>
            <w:r>
              <w:rPr>
                <w:rFonts w:hint="eastAsia" w:ascii="仿宋" w:hAnsi="仿宋" w:eastAsia="仿宋" w:cs="仿宋"/>
                <w:color w:val="000000"/>
                <w:sz w:val="24"/>
                <w:szCs w:val="18"/>
                <w:lang w:val="en-US" w:eastAsia="zh-Hans"/>
              </w:rPr>
              <w:t>年开始，</w:t>
            </w:r>
            <w:r>
              <w:rPr>
                <w:rFonts w:hint="eastAsia" w:ascii="仿宋" w:hAnsi="仿宋" w:eastAsia="仿宋" w:cs="仿宋"/>
                <w:color w:val="000000"/>
                <w:sz w:val="24"/>
                <w:szCs w:val="18"/>
                <w:lang w:eastAsia="zh-Hans"/>
              </w:rPr>
              <w:t>专业化整合</w:t>
            </w:r>
            <w:r>
              <w:rPr>
                <w:rFonts w:hint="eastAsia" w:ascii="仿宋" w:hAnsi="仿宋" w:eastAsia="仿宋" w:cs="仿宋"/>
                <w:color w:val="000000"/>
                <w:sz w:val="24"/>
                <w:szCs w:val="18"/>
                <w:lang w:val="en-US" w:eastAsia="zh-Hans"/>
              </w:rPr>
              <w:t>涉及</w:t>
            </w:r>
            <w:r>
              <w:rPr>
                <w:rFonts w:hint="eastAsia" w:ascii="仿宋" w:hAnsi="仿宋" w:eastAsia="仿宋" w:cs="仿宋"/>
                <w:color w:val="000000"/>
                <w:sz w:val="24"/>
                <w:szCs w:val="18"/>
                <w:lang w:eastAsia="zh-Hans"/>
              </w:rPr>
              <w:t>的行业领域更广、参与层面更宽、精细程度更高，在服务国家战略、优化国有经济布局、促进实现高质量发展等方面取得显著成效。</w:t>
            </w:r>
            <w:r>
              <w:rPr>
                <w:rFonts w:hint="eastAsia" w:ascii="仿宋" w:hAnsi="仿宋" w:eastAsia="仿宋" w:cs="仿宋"/>
                <w:color w:val="000000"/>
                <w:sz w:val="24"/>
                <w:szCs w:val="18"/>
                <w:lang w:val="en-US" w:eastAsia="zh-Hans"/>
              </w:rPr>
              <w:t>中粮与中储粮的此次重组，是这一轮专业化整合的开篇之作，也是一次关系国计民生的重大重组。吸引了社会各界的广泛关注。作者充分把握住此次独家报道的机会，积极与当事企业和主管部门充分沟通，写出了此次重组的来龙去脉和重大意义。</w:t>
            </w:r>
          </w:p>
          <w:p>
            <w:pPr>
              <w:ind w:firstLine="420" w:firstLineChars="0"/>
              <w:rPr>
                <w:rFonts w:hint="eastAsia" w:ascii="仿宋" w:hAnsi="仿宋" w:eastAsia="仿宋" w:cstheme="minorBidi"/>
                <w:color w:val="000000"/>
                <w:kern w:val="2"/>
                <w:sz w:val="21"/>
                <w:szCs w:val="21"/>
                <w:lang w:val="en-US" w:eastAsia="zh-CN" w:bidi="ar-SA"/>
              </w:rPr>
            </w:pPr>
            <w:r>
              <w:rPr>
                <w:rFonts w:hint="eastAsia" w:ascii="仿宋" w:hAnsi="仿宋" w:eastAsia="仿宋" w:cs="仿宋"/>
                <w:color w:val="000000"/>
                <w:sz w:val="24"/>
                <w:szCs w:val="18"/>
                <w:lang w:val="en-US" w:eastAsia="zh-CN"/>
              </w:rPr>
              <w:t>该报道</w:t>
            </w:r>
            <w:r>
              <w:rPr>
                <w:rFonts w:hint="eastAsia" w:ascii="仿宋" w:hAnsi="仿宋" w:eastAsia="仿宋" w:cs="仿宋"/>
                <w:color w:val="000000"/>
                <w:sz w:val="24"/>
                <w:szCs w:val="18"/>
                <w:lang w:val="en-US" w:eastAsia="zh-Hans"/>
              </w:rPr>
              <w:t>相关内容被其他媒体多次引用</w:t>
            </w:r>
            <w:r>
              <w:rPr>
                <w:rFonts w:hint="eastAsia" w:ascii="仿宋" w:hAnsi="仿宋" w:eastAsia="仿宋" w:cs="仿宋"/>
                <w:color w:val="000000"/>
                <w:sz w:val="24"/>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1" w:hRule="exact"/>
          <w:jc w:val="center"/>
        </w:trPr>
        <w:tc>
          <w:tcPr>
            <w:tcW w:w="1450" w:type="dxa"/>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40" w:lineRule="exact"/>
              <w:jc w:val="center"/>
              <w:rPr>
                <w:rFonts w:ascii="华文中宋" w:hAnsi="华文中宋" w:eastAsia="华文中宋" w:cstheme="minorBidi"/>
                <w:color w:val="000000"/>
                <w:kern w:val="2"/>
                <w:sz w:val="28"/>
                <w:szCs w:val="24"/>
                <w:lang w:val="en-US" w:eastAsia="zh-CN" w:bidi="ar-SA"/>
              </w:rPr>
            </w:pPr>
            <w:r>
              <w:rPr>
                <w:rFonts w:hint="eastAsia" w:ascii="华文中宋" w:hAnsi="华文中宋" w:eastAsia="华文中宋"/>
                <w:color w:val="000000"/>
                <w:sz w:val="28"/>
              </w:rPr>
              <w:t xml:space="preserve">  ︶</w:t>
            </w:r>
          </w:p>
        </w:tc>
        <w:tc>
          <w:tcPr>
            <w:tcW w:w="8174" w:type="dxa"/>
            <w:gridSpan w:val="5"/>
            <w:tcBorders>
              <w:bottom w:val="single" w:color="auto" w:sz="4" w:space="0"/>
            </w:tcBorders>
            <w:vAlign w:val="center"/>
          </w:tcPr>
          <w:p>
            <w:pPr>
              <w:ind w:firstLine="480" w:firstLineChars="200"/>
              <w:rPr>
                <w:rFonts w:hint="default" w:ascii="仿宋" w:hAnsi="仿宋" w:eastAsia="仿宋" w:cs="仿宋"/>
                <w:color w:val="000000"/>
                <w:sz w:val="24"/>
                <w:szCs w:val="18"/>
                <w:lang w:eastAsia="zh-Hans"/>
              </w:rPr>
            </w:pPr>
            <w:r>
              <w:rPr>
                <w:rFonts w:hint="eastAsia" w:ascii="仿宋" w:hAnsi="仿宋" w:eastAsia="仿宋" w:cs="仿宋"/>
                <w:color w:val="000000"/>
                <w:sz w:val="24"/>
                <w:szCs w:val="18"/>
                <w:lang w:eastAsia="zh-Hans"/>
              </w:rPr>
              <w:t xml:space="preserve"> </w:t>
            </w:r>
            <w:r>
              <w:rPr>
                <w:rFonts w:hint="eastAsia" w:ascii="仿宋" w:hAnsi="仿宋" w:eastAsia="仿宋" w:cs="仿宋"/>
                <w:color w:val="000000"/>
                <w:sz w:val="24"/>
                <w:szCs w:val="18"/>
                <w:lang w:val="en-US" w:eastAsia="zh-Hans"/>
              </w:rPr>
              <w:t>作者紧扣时事热点，采访深入、出稿很快，做到了标题清晰、文字简练、内容丰富、逻辑清晰。</w:t>
            </w:r>
          </w:p>
          <w:p>
            <w:pPr>
              <w:spacing w:line="360" w:lineRule="exact"/>
              <w:rPr>
                <w:rFonts w:ascii="华文中宋" w:hAnsi="华文中宋" w:eastAsia="华文中宋"/>
                <w:color w:val="000000"/>
                <w:spacing w:val="-2"/>
                <w:sz w:val="28"/>
              </w:rPr>
            </w:pPr>
            <w:r>
              <w:rPr>
                <w:rFonts w:hint="eastAsia" w:ascii="华文中宋" w:hAnsi="华文中宋" w:eastAsia="华文中宋"/>
                <w:color w:val="000000"/>
                <w:spacing w:val="-2"/>
                <w:sz w:val="28"/>
              </w:rPr>
              <w:t xml:space="preserve">                      </w:t>
            </w:r>
          </w:p>
          <w:p>
            <w:pPr>
              <w:spacing w:line="360" w:lineRule="exact"/>
              <w:rPr>
                <w:rFonts w:ascii="华文中宋" w:hAnsi="华文中宋" w:eastAsia="华文中宋"/>
                <w:color w:val="000000"/>
                <w:sz w:val="28"/>
              </w:rPr>
            </w:pPr>
            <w:r>
              <w:rPr>
                <w:rFonts w:hint="eastAsia" w:ascii="华文中宋" w:hAnsi="华文中宋" w:eastAsia="华文中宋"/>
                <w:color w:val="000000"/>
                <w:spacing w:val="-2"/>
                <w:sz w:val="28"/>
              </w:rPr>
              <w:t xml:space="preserve">                           签名：</w:t>
            </w:r>
          </w:p>
          <w:p>
            <w:pPr>
              <w:rPr>
                <w:rFonts w:ascii="仿宋" w:hAnsi="仿宋" w:eastAsia="仿宋" w:cstheme="minorBidi"/>
                <w:color w:val="000000"/>
                <w:kern w:val="2"/>
                <w:sz w:val="21"/>
                <w:szCs w:val="21"/>
                <w:lang w:val="en-US" w:eastAsia="zh-CN" w:bidi="ar-SA"/>
              </w:rPr>
            </w:pPr>
            <w:r>
              <w:rPr>
                <w:rFonts w:hint="eastAsia" w:ascii="仿宋_GB2312"/>
                <w:color w:val="000000"/>
                <w:sz w:val="28"/>
              </w:rPr>
              <w:t xml:space="preserve">        </w:t>
            </w:r>
            <w:bookmarkStart w:id="0" w:name="_GoBack"/>
            <w:bookmarkEnd w:id="0"/>
            <w:r>
              <w:rPr>
                <w:rFonts w:hint="eastAsia" w:ascii="仿宋_GB2312"/>
                <w:color w:val="000000"/>
                <w:sz w:val="28"/>
              </w:rPr>
              <w:t xml:space="preserve">                         </w:t>
            </w:r>
            <w:r>
              <w:rPr>
                <w:rFonts w:ascii="华文中宋" w:hAnsi="华文中宋" w:eastAsia="华文中宋"/>
                <w:color w:val="000000"/>
                <w:sz w:val="28"/>
              </w:rPr>
              <w:t>20</w:t>
            </w:r>
            <w:r>
              <w:rPr>
                <w:rFonts w:hint="eastAsia" w:ascii="华文中宋" w:hAnsi="华文中宋" w:eastAsia="华文中宋"/>
                <w:color w:val="000000"/>
                <w:sz w:val="28"/>
              </w:rPr>
              <w:t>23</w:t>
            </w:r>
            <w:r>
              <w:rPr>
                <w:rFonts w:ascii="华文中宋" w:hAnsi="华文中宋" w:eastAsia="华文中宋"/>
                <w:color w:val="000000"/>
                <w:sz w:val="28"/>
              </w:rPr>
              <w:t xml:space="preserve">年 </w:t>
            </w:r>
            <w:r>
              <w:rPr>
                <w:rFonts w:hint="eastAsia" w:ascii="华文中宋" w:hAnsi="华文中宋" w:eastAsia="华文中宋"/>
                <w:color w:val="000000"/>
                <w:sz w:val="28"/>
                <w:lang w:val="en-US" w:eastAsia="zh-CN"/>
              </w:rPr>
              <w:t xml:space="preserve"> </w:t>
            </w:r>
            <w:r>
              <w:rPr>
                <w:rFonts w:ascii="华文中宋" w:hAnsi="华文中宋" w:eastAsia="华文中宋"/>
                <w:color w:val="000000"/>
                <w:sz w:val="28"/>
              </w:rPr>
              <w:t xml:space="preserve"> </w:t>
            </w:r>
            <w:r>
              <w:rPr>
                <w:rFonts w:hint="eastAsia" w:ascii="华文中宋" w:hAnsi="华文中宋" w:eastAsia="华文中宋"/>
                <w:color w:val="000000"/>
                <w:sz w:val="28"/>
              </w:rPr>
              <w:t>月</w:t>
            </w:r>
            <w:r>
              <w:rPr>
                <w:rFonts w:ascii="华文中宋" w:hAnsi="华文中宋" w:eastAsia="华文中宋"/>
                <w:color w:val="000000"/>
                <w:sz w:val="28"/>
              </w:rPr>
              <w:t xml:space="preserve"> </w:t>
            </w:r>
            <w:r>
              <w:rPr>
                <w:rFonts w:hint="eastAsia" w:ascii="华文中宋" w:hAnsi="华文中宋" w:eastAsia="华文中宋"/>
                <w:color w:val="000000"/>
                <w:sz w:val="28"/>
                <w:lang w:val="en-US" w:eastAsia="zh-CN"/>
              </w:rPr>
              <w:t xml:space="preserve"> </w:t>
            </w:r>
            <w:r>
              <w:rPr>
                <w:rFonts w:ascii="华文中宋" w:hAnsi="华文中宋" w:eastAsia="华文中宋"/>
                <w:color w:val="000000"/>
                <w:sz w:val="28"/>
              </w:rPr>
              <w:t xml:space="preserve"> </w:t>
            </w:r>
            <w:r>
              <w:rPr>
                <w:rFonts w:hint="eastAsia" w:ascii="华文中宋" w:hAnsi="华文中宋" w:eastAsia="华文中宋"/>
                <w:color w:val="000000"/>
                <w:sz w:val="28"/>
              </w:rPr>
              <w:t>日</w:t>
            </w:r>
          </w:p>
        </w:tc>
      </w:tr>
    </w:tbl>
    <w:p>
      <w:pPr>
        <w:rPr>
          <w:rFonts w:hint="eastAsia" w:ascii="华文中宋" w:hAnsi="华文中宋" w:eastAsia="华文中宋" w:cs="华文中宋"/>
          <w:b/>
          <w:bCs/>
          <w:sz w:val="28"/>
          <w:szCs w:val="28"/>
          <w:lang w:val="en-US" w:eastAsia="zh-Hans"/>
        </w:rPr>
      </w:pPr>
      <w:r>
        <w:rPr>
          <w:rFonts w:hint="eastAsia" w:ascii="华文中宋" w:hAnsi="华文中宋" w:eastAsia="华文中宋" w:cs="华文中宋"/>
          <w:b/>
          <w:bCs/>
          <w:sz w:val="28"/>
          <w:szCs w:val="28"/>
          <w:lang w:val="en-US" w:eastAsia="zh-Hans"/>
        </w:rPr>
        <w:br w:type="page"/>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center"/>
        <w:textAlignment w:val="auto"/>
        <w:rPr>
          <w:rFonts w:hint="eastAsia" w:ascii="华文中宋" w:hAnsi="华文中宋" w:eastAsia="华文中宋" w:cs="华文中宋"/>
          <w:b/>
          <w:bCs/>
          <w:sz w:val="28"/>
          <w:szCs w:val="28"/>
          <w:lang w:val="en-US" w:eastAsia="zh-Hans"/>
        </w:rPr>
      </w:pPr>
      <w:r>
        <w:rPr>
          <w:rFonts w:hint="eastAsia" w:ascii="华文中宋" w:hAnsi="华文中宋" w:eastAsia="华文中宋" w:cs="华文中宋"/>
          <w:b/>
          <w:bCs/>
          <w:sz w:val="28"/>
          <w:szCs w:val="28"/>
          <w:lang w:val="en-US" w:eastAsia="zh-Hans"/>
        </w:rPr>
        <w:t>中储粮与中粮联手组建新公司背后的分类改革逻辑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文·本刊记者  刘青山</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lang w:val="en-US" w:eastAsia="zh-Hans"/>
        </w:rPr>
      </w:pP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lang w:val="en-US" w:eastAsia="zh-Hans"/>
        </w:rPr>
      </w:pPr>
      <w:r>
        <w:rPr>
          <w:rFonts w:hint="eastAsia" w:ascii="宋体" w:hAnsi="宋体" w:eastAsia="宋体" w:cs="宋体"/>
          <w:b/>
          <w:bCs/>
          <w:sz w:val="21"/>
          <w:szCs w:val="21"/>
          <w:lang w:val="en-US" w:eastAsia="zh-Hans"/>
        </w:rPr>
        <w:t>2022年1月25日，中储粮集团与中粮集团储备加工领域分类改革股权合作协议签约仪式在北京举行。国资委党委委员、副主任翁杰明出席仪式并讲话。</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lang w:val="en-US" w:eastAsia="zh-Hans"/>
        </w:rPr>
      </w:pPr>
      <w:r>
        <w:rPr>
          <w:rFonts w:hint="eastAsia" w:ascii="宋体" w:hAnsi="宋体" w:eastAsia="宋体" w:cs="宋体"/>
          <w:b/>
          <w:bCs/>
          <w:sz w:val="21"/>
          <w:szCs w:val="21"/>
          <w:lang w:val="en-US" w:eastAsia="zh-Hans"/>
        </w:rPr>
        <w:t>贯彻落实党中央、国务院部署要求，国资委指导两集团根据公益类、商业类企业不同功能定位，通过股权合作，分别组建由中储粮集团控股的粮食仓储业务合资公司和中粮集团控股的油脂油料加工合资公司。</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lang w:val="en-US" w:eastAsia="zh-Hans"/>
        </w:rPr>
      </w:pPr>
      <w:r>
        <w:rPr>
          <w:rFonts w:hint="eastAsia" w:ascii="宋体" w:hAnsi="宋体" w:eastAsia="宋体" w:cs="宋体"/>
          <w:b/>
          <w:bCs/>
          <w:sz w:val="21"/>
          <w:szCs w:val="21"/>
          <w:lang w:val="en-US" w:eastAsia="zh-Hans"/>
        </w:rPr>
        <w:t>“专业化整合是2022年国资委着力推进的一项重点工作，此次中储粮集团和中粮集团开展股权合作组建合资公司，是今年的第一例整合项目。”国资委党委委员、副主任翁杰明在出席合作仪式时表示。此次股权合作将进一步理顺中储粮集团、中粮集团粮食仓储和油脂油料加工业务的功能定位、管理边界，有助于打造分类改革示范标杆，为更好保障粮食储备安全作出积极贡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华文中宋" w:hAnsi="华文中宋" w:eastAsia="华文中宋" w:cs="华文中宋"/>
          <w:b/>
          <w:bCs/>
          <w:sz w:val="28"/>
          <w:szCs w:val="28"/>
          <w:lang w:val="en-US" w:eastAsia="zh-Hans"/>
        </w:rPr>
      </w:pPr>
      <w:r>
        <w:rPr>
          <w:rFonts w:hint="eastAsia" w:ascii="华文中宋" w:hAnsi="华文中宋" w:eastAsia="华文中宋" w:cs="华文中宋"/>
          <w:b/>
          <w:bCs/>
          <w:sz w:val="28"/>
          <w:szCs w:val="28"/>
          <w:lang w:val="en-US" w:eastAsia="zh-Hans"/>
        </w:rPr>
        <w:t>进一步聚焦主业，更好维护粮食安全</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lang w:val="en-US" w:eastAsia="zh-Hans"/>
        </w:rPr>
      </w:pPr>
      <w:r>
        <w:rPr>
          <w:rFonts w:hint="eastAsia" w:ascii="宋体" w:hAnsi="宋体" w:eastAsia="宋体" w:cs="宋体"/>
          <w:b/>
          <w:bCs/>
          <w:sz w:val="21"/>
          <w:szCs w:val="21"/>
          <w:lang w:val="en-US" w:eastAsia="zh-Hans"/>
        </w:rPr>
        <w:t>党的十八大以来，以习近平同志为核心的党中央高度重视粮食安全工作。习近平总书记指出，解决好吃饭问题始终是治国理政的头等大事，中国人的饭碗任何时候都要牢牢端在自己手上。</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lang w:val="en-US" w:eastAsia="zh-Hans"/>
        </w:rPr>
      </w:pPr>
      <w:r>
        <w:rPr>
          <w:rFonts w:hint="eastAsia" w:ascii="宋体" w:hAnsi="宋体" w:eastAsia="宋体" w:cs="宋体"/>
          <w:b/>
          <w:bCs/>
          <w:sz w:val="21"/>
          <w:szCs w:val="21"/>
          <w:lang w:val="en-US" w:eastAsia="zh-Hans"/>
        </w:rPr>
        <w:t>多年来，中储粮、中粮集团等中央企业心系“国之大者”，为保障民生和社会大局稳定作出积极贡献。</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lang w:val="en-US" w:eastAsia="zh-Hans"/>
        </w:rPr>
      </w:pPr>
      <w:r>
        <w:rPr>
          <w:rFonts w:hint="eastAsia" w:ascii="宋体" w:hAnsi="宋体" w:eastAsia="宋体" w:cs="宋体"/>
          <w:b/>
          <w:bCs/>
          <w:sz w:val="21"/>
          <w:szCs w:val="21"/>
          <w:lang w:val="en-US" w:eastAsia="zh-Hans"/>
        </w:rPr>
        <w:t>2000年，党中央、国务院决定对中央储备粮实行垂直管理，并组建中储粮公司。成立20年多年来，中储粮认真贯彻落实中央关于粮食安全和国有经济发展的一系列政策，各项工作取得显著成效。</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lang w:val="en-US" w:eastAsia="zh-Hans"/>
        </w:rPr>
      </w:pPr>
      <w:r>
        <w:rPr>
          <w:rFonts w:hint="eastAsia" w:ascii="宋体" w:hAnsi="宋体" w:eastAsia="宋体" w:cs="宋体"/>
          <w:b/>
          <w:bCs/>
          <w:sz w:val="21"/>
          <w:szCs w:val="21"/>
          <w:lang w:val="en-US" w:eastAsia="zh-Hans"/>
        </w:rPr>
        <w:t>《国资报告》记者从2022年1月22日召开的中储粮工作会议暨党风廉政建设和反腐败工作会议上获悉，当前中储粮的中央储备粮自储比例提升至98%，科技储粮覆盖率连年保持在98%以上，仓容完好率连年保持在95%以上。国家有关部门检查结果表明：中央储备粮棉管理总体良好，中储粮在维护国家粮食安全方面发挥了重要“稳定器”作用。</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lang w:val="en-US" w:eastAsia="zh-Hans"/>
        </w:rPr>
      </w:pPr>
      <w:r>
        <w:rPr>
          <w:rFonts w:hint="eastAsia" w:ascii="宋体" w:hAnsi="宋体" w:eastAsia="宋体" w:cs="宋体"/>
          <w:b/>
          <w:bCs/>
          <w:sz w:val="21"/>
          <w:szCs w:val="21"/>
          <w:lang w:val="en-US" w:eastAsia="zh-Hans"/>
        </w:rPr>
        <w:t>成立于1949年的中粮集团，从当年单一的粮油进出口公司起步，逐步发展壮大。党的十八大以来，中粮集团始终从政治和全局高度担当为国谋粮责任，加快打造具有全球竞争力的世界一流大粮商。截至2021年底，中粮集团的粮食贸易、稻谷加工、油脂加工、玉米深加工、食糖贸易与加工业务持续巩固行业第一地位。</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lang w:val="en-US" w:eastAsia="zh-Hans"/>
        </w:rPr>
      </w:pPr>
      <w:r>
        <w:rPr>
          <w:rFonts w:hint="eastAsia" w:ascii="宋体" w:hAnsi="宋体" w:eastAsia="宋体" w:cs="宋体"/>
          <w:b/>
          <w:bCs/>
          <w:sz w:val="21"/>
          <w:szCs w:val="21"/>
          <w:lang w:val="en-US" w:eastAsia="zh-Hans"/>
        </w:rPr>
        <w:t>新冠肺炎疫情暴发以来，中储粮集团和中粮集团听党指挥向险而行，在做好企业疫情防控工作的同时，第一时间复工复产，紧急向疫情高发区调运紧缺物资，确保粮油市场供应不断、价格不涨，发挥了疫情期间保障居民生活必需品供应的“压舱石”作用。</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lang w:val="en-US" w:eastAsia="zh-Hans"/>
        </w:rPr>
      </w:pPr>
      <w:r>
        <w:rPr>
          <w:rFonts w:hint="eastAsia" w:ascii="宋体" w:hAnsi="宋体" w:eastAsia="宋体" w:cs="宋体"/>
          <w:b/>
          <w:bCs/>
          <w:sz w:val="21"/>
          <w:szCs w:val="21"/>
          <w:lang w:val="en-US" w:eastAsia="zh-Hans"/>
        </w:rPr>
        <w:t>翁杰明表示，中储粮集团、中粮集团聚焦粮食储备安全、服务宏观调控、调节稳定市场目标，以此次股权合作为契机，进一步理顺粮食仓储和油脂油料加工业务的功能定位、管理边界，隔断风险传导途径，有助于两家企业更好履行职责使命，肩负起维护国家安全、守护天下粮仓的重任。</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lang w:val="en-US" w:eastAsia="zh-Hans"/>
        </w:rPr>
      </w:pPr>
      <w:r>
        <w:rPr>
          <w:rFonts w:hint="eastAsia" w:ascii="宋体" w:hAnsi="宋体" w:eastAsia="宋体" w:cs="宋体"/>
          <w:b/>
          <w:bCs/>
          <w:sz w:val="21"/>
          <w:szCs w:val="21"/>
          <w:lang w:val="en-US" w:eastAsia="zh-Hans"/>
        </w:rPr>
        <w:t>中粮集团董事长吕军表示，长期以来，中粮集团和中储粮集团通力合作，充分发挥了中粮市场化手段和中储粮政策性手段“双轮驱动”优势。这次在储备加工领域的股权合作，是两家企业各施所长、提升资源配置效率、更好维护国家粮食安全的又一次创新之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华文中宋" w:hAnsi="华文中宋" w:eastAsia="华文中宋" w:cs="华文中宋"/>
          <w:b/>
          <w:bCs/>
          <w:sz w:val="28"/>
          <w:szCs w:val="28"/>
          <w:lang w:val="en-US" w:eastAsia="zh-Hans"/>
        </w:rPr>
      </w:pPr>
      <w:r>
        <w:rPr>
          <w:rFonts w:hint="eastAsia" w:ascii="华文中宋" w:hAnsi="华文中宋" w:eastAsia="华文中宋" w:cs="华文中宋"/>
          <w:b/>
          <w:bCs/>
          <w:sz w:val="28"/>
          <w:szCs w:val="28"/>
          <w:lang w:val="en-US" w:eastAsia="zh-Hans"/>
        </w:rPr>
        <w:t>创新整合方式，打造分类改革标杆</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lang w:val="en-US" w:eastAsia="zh-Hans"/>
        </w:rPr>
      </w:pPr>
      <w:r>
        <w:rPr>
          <w:rFonts w:hint="eastAsia" w:ascii="宋体" w:hAnsi="宋体" w:eastAsia="宋体" w:cs="宋体"/>
          <w:b/>
          <w:bCs/>
          <w:sz w:val="21"/>
          <w:szCs w:val="21"/>
          <w:lang w:val="en-US" w:eastAsia="zh-Hans"/>
        </w:rPr>
        <w:t>长期以来，中粮集团和中储粮集团分工明确，协作紧密。不过，在发展过程中，受多种因素影响，两家企业的业务出现了部分交叉。</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lang w:val="en-US" w:eastAsia="zh-Hans"/>
        </w:rPr>
      </w:pPr>
      <w:r>
        <w:rPr>
          <w:rFonts w:hint="eastAsia" w:ascii="宋体" w:hAnsi="宋体" w:eastAsia="宋体" w:cs="宋体"/>
          <w:b/>
          <w:bCs/>
          <w:sz w:val="21"/>
          <w:szCs w:val="21"/>
          <w:lang w:val="en-US" w:eastAsia="zh-Hans"/>
        </w:rPr>
        <w:t>比如，中储粮一直是我国中央储备粮的管理主体，粮食托市收购和国家临时收储政策的执行主体。为弥补政策性收储力量不足，中粮集团以及华粮集团、中纺集团曾接受中储粮委托，参与中央事权粮食的管理。</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lang w:val="en-US" w:eastAsia="zh-Hans"/>
        </w:rPr>
      </w:pPr>
      <w:r>
        <w:rPr>
          <w:rFonts w:hint="eastAsia" w:ascii="宋体" w:hAnsi="宋体" w:eastAsia="宋体" w:cs="宋体"/>
          <w:b/>
          <w:bCs/>
          <w:sz w:val="21"/>
          <w:szCs w:val="21"/>
          <w:lang w:val="en-US" w:eastAsia="zh-Hans"/>
        </w:rPr>
        <w:t>再比如，作为我国精炼食用油、小包装食用油的开拓者，中粮集团旗下的中粮油脂一直是我国国内油脂油料加工的龙头企业。2008年起，中储粮进入了油脂油料加工领域，目前行业排名第三。</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lang w:val="en-US" w:eastAsia="zh-Hans"/>
        </w:rPr>
      </w:pPr>
      <w:r>
        <w:rPr>
          <w:rFonts w:hint="eastAsia" w:ascii="宋体" w:hAnsi="宋体" w:eastAsia="宋体" w:cs="宋体"/>
          <w:b/>
          <w:bCs/>
          <w:sz w:val="21"/>
          <w:szCs w:val="21"/>
          <w:lang w:val="en-US" w:eastAsia="zh-Hans"/>
        </w:rPr>
        <w:t>“中储粮进入油脂油料加工市场，有两大因素。”中储粮相关部门负责人介绍说，一是为了便于大豆轮换，二是为了更好调控市场价格。</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lang w:val="en-US" w:eastAsia="zh-Hans"/>
        </w:rPr>
      </w:pPr>
      <w:r>
        <w:rPr>
          <w:rFonts w:hint="eastAsia" w:ascii="宋体" w:hAnsi="宋体" w:eastAsia="宋体" w:cs="宋体"/>
          <w:b/>
          <w:bCs/>
          <w:sz w:val="21"/>
          <w:szCs w:val="21"/>
          <w:lang w:val="en-US" w:eastAsia="zh-Hans"/>
        </w:rPr>
        <w:t>大豆是中央储备粮的重要品种，轮换是实现大豆储备常储常新的重要手段。考虑到进口大豆基本上用于榨油和饲料原料，结合加工开展轮换可以提高轮换运作效率，也可以避免在加工环节受制于人，同时可以更好服务国家对油脂油料市场的宏观调控。</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lang w:val="en-US" w:eastAsia="zh-Hans"/>
        </w:rPr>
      </w:pPr>
      <w:r>
        <w:rPr>
          <w:rFonts w:hint="eastAsia" w:ascii="宋体" w:hAnsi="宋体" w:eastAsia="宋体" w:cs="宋体"/>
          <w:b/>
          <w:bCs/>
          <w:sz w:val="21"/>
          <w:szCs w:val="21"/>
          <w:lang w:val="en-US" w:eastAsia="zh-Hans"/>
        </w:rPr>
        <w:t>2000年以来，国内外油脂油料市场先后经历数次大幅度波动。比如，2008年3月初，国内豆油现货价格从上年的8000元/吨上涨到15000元/吨。为平抑油价，国家两次紧急抛售中央储备油，但效果均不理想。第一次抛售原料油脂，大部分被中间商抢购囤积；第二次国家决定抛售一部分成品油直接稳定终端市场，但由于国内加工能力不足，相当一部分储备油脂需要请外商帮助加工后投放市场，调控效果大打折扣。</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lang w:val="en-US" w:eastAsia="zh-Hans"/>
        </w:rPr>
      </w:pPr>
      <w:r>
        <w:rPr>
          <w:rFonts w:hint="eastAsia" w:ascii="宋体" w:hAnsi="宋体" w:eastAsia="宋体" w:cs="宋体"/>
          <w:b/>
          <w:bCs/>
          <w:sz w:val="21"/>
          <w:szCs w:val="21"/>
          <w:lang w:val="en-US" w:eastAsia="zh-Hans"/>
        </w:rPr>
        <w:t>因此，国务院办公厅印发《关于促进油料生产发展的意见》（国办发〔2007〕59号)，要求尽快恢复和发展国内油脂油料生产，提高油脂自给能力。</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lang w:val="en-US" w:eastAsia="zh-Hans"/>
        </w:rPr>
      </w:pPr>
      <w:r>
        <w:rPr>
          <w:rFonts w:hint="eastAsia" w:ascii="宋体" w:hAnsi="宋体" w:eastAsia="宋体" w:cs="宋体"/>
          <w:b/>
          <w:bCs/>
          <w:sz w:val="21"/>
          <w:szCs w:val="21"/>
          <w:lang w:val="en-US" w:eastAsia="zh-Hans"/>
        </w:rPr>
        <w:t>2008年，中储粮公司决定组建油脂公司，并将储备库与加工厂一体布局，形成油脂油料储备加工综合基地，使储备轮出到加工的链条缩短、效率提高。</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lang w:val="en-US" w:eastAsia="zh-Hans"/>
        </w:rPr>
      </w:pPr>
      <w:r>
        <w:rPr>
          <w:rFonts w:hint="eastAsia" w:ascii="宋体" w:hAnsi="宋体" w:eastAsia="宋体" w:cs="宋体"/>
          <w:b/>
          <w:bCs/>
          <w:sz w:val="21"/>
          <w:szCs w:val="21"/>
          <w:lang w:val="en-US" w:eastAsia="zh-Hans"/>
        </w:rPr>
        <w:t>新一轮国有经济布局结构调整开始后，中粮等商业类企业进入储备政策性业务以及中储粮进入油脂油料加工业务，成为改革的重要内容。根据中央有关文件要求，要通过改革实现两家企业的政策性职能和经营性职能分离。</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lang w:val="en-US" w:eastAsia="zh-Hans"/>
        </w:rPr>
      </w:pPr>
      <w:r>
        <w:rPr>
          <w:rFonts w:hint="eastAsia" w:ascii="宋体" w:hAnsi="宋体" w:eastAsia="宋体" w:cs="宋体"/>
          <w:b/>
          <w:bCs/>
          <w:sz w:val="21"/>
          <w:szCs w:val="21"/>
          <w:lang w:val="en-US" w:eastAsia="zh-Hans"/>
        </w:rPr>
        <w:t>针对中储粮的油脂油料加工厂与储备库一体化布局的实际情况，为更好落实有关部门要求，中储粮在国资委的指导下，经过与中粮集团的充分沟通，探索了这一创新性的整合方式：成立由中粮控股的合资公司，管理中储粮相关油脂油料加工资产；成立由中储粮控股的合资公司，管理中粮旗下的中央储备粮管理等政策性业务资产。</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lang w:val="en-US" w:eastAsia="zh-Hans"/>
        </w:rPr>
      </w:pPr>
      <w:r>
        <w:rPr>
          <w:rFonts w:hint="eastAsia" w:ascii="宋体" w:hAnsi="宋体" w:eastAsia="宋体" w:cs="宋体"/>
          <w:b/>
          <w:bCs/>
          <w:sz w:val="21"/>
          <w:szCs w:val="21"/>
          <w:lang w:val="en-US" w:eastAsia="zh-Hans"/>
        </w:rPr>
        <w:t>国资委改革局有关负责人介绍说，这种方式一是有助于两家企业进一步聚焦主业，二是改革阵痛小、推进快，可以避免出现不稳定因素。</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lang w:val="en-US" w:eastAsia="zh-Hans"/>
        </w:rPr>
      </w:pPr>
      <w:r>
        <w:rPr>
          <w:rFonts w:hint="eastAsia" w:ascii="宋体" w:hAnsi="宋体" w:eastAsia="宋体" w:cs="宋体"/>
          <w:b/>
          <w:bCs/>
          <w:sz w:val="21"/>
          <w:szCs w:val="21"/>
          <w:lang w:val="en-US" w:eastAsia="zh-Hans"/>
        </w:rPr>
        <w:t>中储粮董事长邓亦武表示，根据两家合资公司的功能定位，粮食储备合资公司将持续强化中央储备粮管理，切实提高“技防技控”能力，全力落实政策性粮食收储、监管、销售、调运等调控任务。油脂加工合资公司在为中央储备油脂油料轮换提供必要加工服务的同时，全力开拓市场化业务，增强企业竞争力、创新力、控制力、影响力和抗风险能力，实现国有资产保值增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华文中宋" w:hAnsi="华文中宋" w:eastAsia="华文中宋" w:cs="华文中宋"/>
          <w:b/>
          <w:bCs/>
          <w:sz w:val="28"/>
          <w:szCs w:val="28"/>
          <w:lang w:val="en-US" w:eastAsia="zh-Hans"/>
        </w:rPr>
      </w:pPr>
      <w:r>
        <w:rPr>
          <w:rFonts w:hint="eastAsia" w:ascii="华文中宋" w:hAnsi="华文中宋" w:eastAsia="华文中宋" w:cs="华文中宋"/>
          <w:b/>
          <w:bCs/>
          <w:sz w:val="28"/>
          <w:szCs w:val="28"/>
          <w:lang w:val="en-US" w:eastAsia="zh-Hans"/>
        </w:rPr>
        <w:t>加强分类监管，增强业务协同</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lang w:val="en-US" w:eastAsia="zh-Hans"/>
        </w:rPr>
      </w:pPr>
      <w:r>
        <w:rPr>
          <w:rFonts w:hint="eastAsia" w:ascii="宋体" w:hAnsi="宋体" w:eastAsia="宋体" w:cs="宋体"/>
          <w:b/>
          <w:bCs/>
          <w:sz w:val="21"/>
          <w:szCs w:val="21"/>
          <w:lang w:val="en-US" w:eastAsia="zh-Hans"/>
        </w:rPr>
        <w:t>专业化整合是2022年国资委着力推进的一项重点工作。此次中储粮集团和中粮集团开展股权合作组建合资公司，是今年的第一例整合项目。</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lang w:val="en-US" w:eastAsia="zh-Hans"/>
        </w:rPr>
      </w:pPr>
      <w:r>
        <w:rPr>
          <w:rFonts w:hint="eastAsia" w:ascii="宋体" w:hAnsi="宋体" w:eastAsia="宋体" w:cs="宋体"/>
          <w:b/>
          <w:bCs/>
          <w:sz w:val="21"/>
          <w:szCs w:val="21"/>
          <w:lang w:val="en-US" w:eastAsia="zh-Hans"/>
        </w:rPr>
        <w:t>翁杰明说，此次两家企业聚焦公益类、商业类功能定位，开展股权合作、实施专业化整合，是促进中央企业粮食储备、油脂油料加工领域资源进一步向主业企业、优势企业集中的有力举措，对促进国有经济布局优化和结构调整、深化分类改革具有重要意义。</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lang w:val="en-US" w:eastAsia="zh-Hans"/>
        </w:rPr>
      </w:pPr>
      <w:r>
        <w:rPr>
          <w:rFonts w:hint="eastAsia" w:ascii="宋体" w:hAnsi="宋体" w:eastAsia="宋体" w:cs="宋体"/>
          <w:b/>
          <w:bCs/>
          <w:sz w:val="21"/>
          <w:szCs w:val="21"/>
          <w:lang w:val="en-US" w:eastAsia="zh-Hans"/>
        </w:rPr>
        <w:t>对于两家合资企业未来的发展，翁杰明提出了系列要求。他说，要做到“专业的人做专业的事”，切实提高资源配置效率和企业抗风险能力，为保障粮油产业链供应链稳定提供可靠支撑。要处理好两个合资公司与其分别管理的相关资产板块之间的关系，取得两个层级干部职工的理解和支持。要强化协调配合，全方位推进整合融合，在粮食轮换、仓储管理、生产流通等方面形成高度协同，加快释放改革红利。要采取有效措施，在严防安全事故的基础上，抓好经营发展，做到生产经营两不误，实现两个合资公司顺利组建运营，确保全面完成改革既定目标任务。</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lang w:val="en-US" w:eastAsia="zh-Hans"/>
        </w:rPr>
      </w:pPr>
      <w:r>
        <w:rPr>
          <w:rFonts w:hint="eastAsia" w:ascii="宋体" w:hAnsi="宋体" w:eastAsia="宋体" w:cs="宋体"/>
          <w:b/>
          <w:bCs/>
          <w:sz w:val="21"/>
          <w:szCs w:val="21"/>
          <w:lang w:val="en-US" w:eastAsia="zh-Hans"/>
        </w:rPr>
        <w:t>对此，邓亦武表态称，将强化党建引领，为合资企业组建运营提供坚强的政治保证；将强化协同配合，高效有序落实合资企业的组建工作；将健全运营机制，更好完成企业职责使命。“深化改革，协同发展，为服务保障国家粮食安全作出新的更大贡献！”邓亦武说。</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书宋二KW">
    <w:altName w:val="宋体"/>
    <w:panose1 w:val="00020600040101010101"/>
    <w:charset w:val="86"/>
    <w:family w:val="auto"/>
    <w:pitch w:val="default"/>
    <w:sig w:usb0="00000000" w:usb1="00000000" w:usb2="00000000" w:usb3="00000000" w:csb0="00160000"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jZDVmMzJjZWY0MmUxN2VmNDU2NTZhYzE3MzExZWMifQ=="/>
    <w:docVar w:name="KSO_WPS_MARK_KEY" w:val="d2a58bbf-8405-4815-ac4c-b7953250478c"/>
  </w:docVars>
  <w:rsids>
    <w:rsidRoot w:val="0BDDBF8A"/>
    <w:rsid w:val="0BDDBF8A"/>
    <w:rsid w:val="1FBFB26D"/>
    <w:rsid w:val="1FF385C0"/>
    <w:rsid w:val="1FFFFE5F"/>
    <w:rsid w:val="25BF189A"/>
    <w:rsid w:val="2DFC7333"/>
    <w:rsid w:val="35FD75CA"/>
    <w:rsid w:val="36406BD4"/>
    <w:rsid w:val="37AF04EC"/>
    <w:rsid w:val="3CFFE937"/>
    <w:rsid w:val="47FD6E25"/>
    <w:rsid w:val="50DFFE20"/>
    <w:rsid w:val="565FEE2B"/>
    <w:rsid w:val="574765EB"/>
    <w:rsid w:val="577DAED8"/>
    <w:rsid w:val="579DE6B8"/>
    <w:rsid w:val="5BFD09D4"/>
    <w:rsid w:val="5EFEE7B2"/>
    <w:rsid w:val="6CFFA41B"/>
    <w:rsid w:val="6DDD35B2"/>
    <w:rsid w:val="73FF7FD3"/>
    <w:rsid w:val="7B5D9327"/>
    <w:rsid w:val="7D4CEA67"/>
    <w:rsid w:val="7DDD64F5"/>
    <w:rsid w:val="7EF29507"/>
    <w:rsid w:val="7EFE35FF"/>
    <w:rsid w:val="7F3BB545"/>
    <w:rsid w:val="7FBF4BB1"/>
    <w:rsid w:val="7FFC1974"/>
    <w:rsid w:val="87DD4E60"/>
    <w:rsid w:val="8EF5649D"/>
    <w:rsid w:val="96FFA389"/>
    <w:rsid w:val="9DBBBF17"/>
    <w:rsid w:val="A6DF8314"/>
    <w:rsid w:val="BAF8ECDD"/>
    <w:rsid w:val="BFBA48BE"/>
    <w:rsid w:val="BFFC8721"/>
    <w:rsid w:val="DFFF67C1"/>
    <w:rsid w:val="E3D34C43"/>
    <w:rsid w:val="E6FA4526"/>
    <w:rsid w:val="E7FB2617"/>
    <w:rsid w:val="EEB7E3BA"/>
    <w:rsid w:val="EF7F9F88"/>
    <w:rsid w:val="F77F8C5B"/>
    <w:rsid w:val="FDFD9D50"/>
    <w:rsid w:val="FEF6BCD7"/>
    <w:rsid w:val="FF354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Normal Indent"/>
    <w:basedOn w:val="1"/>
    <w:next w:val="4"/>
    <w:qFormat/>
    <w:uiPriority w:val="0"/>
    <w:pPr>
      <w:ind w:firstLine="420" w:firstLineChars="200"/>
    </w:pPr>
    <w:rPr>
      <w:rFonts w:ascii="汉仪书宋二KW" w:hAnsi="汉仪书宋二KW"/>
    </w:rPr>
  </w:style>
  <w:style w:type="paragraph" w:styleId="4">
    <w:name w:val="Body Text First Indent"/>
    <w:basedOn w:val="5"/>
    <w:qFormat/>
    <w:uiPriority w:val="0"/>
    <w:pPr>
      <w:ind w:firstLine="420" w:firstLineChars="100"/>
    </w:pPr>
    <w:rPr>
      <w:sz w:val="24"/>
    </w:rPr>
  </w:style>
  <w:style w:type="paragraph" w:styleId="5">
    <w:name w:val="Body Text"/>
    <w:basedOn w:val="1"/>
    <w:qFormat/>
    <w:uiPriority w:val="0"/>
    <w:pPr>
      <w:spacing w:after="120" w:afterLines="0" w:afterAutospacing="0"/>
    </w:pPr>
  </w:style>
  <w:style w:type="paragraph" w:styleId="6">
    <w:name w:val="Body Text 3"/>
    <w:basedOn w:val="1"/>
    <w:unhideWhenUsed/>
    <w:qFormat/>
    <w:uiPriority w:val="99"/>
    <w:pPr>
      <w:spacing w:after="120"/>
    </w:pPr>
    <w:rPr>
      <w:sz w:val="16"/>
      <w:szCs w:val="16"/>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F798D51F8A742840BB547E04B2690631" ma:contentTypeVersion="1" ma:contentTypeDescription="新建文档。" ma:contentTypeScope="" ma:versionID="96d4844631185b5ef1df24e85c73571c">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E860E-4725-460B-BBC5-B92D73D315D8}"/>
</file>

<file path=customXml/itemProps2.xml><?xml version="1.0" encoding="utf-8"?>
<ds:datastoreItem xmlns:ds="http://schemas.openxmlformats.org/officeDocument/2006/customXml" ds:itemID="{EDBEC8F4-0014-4699-ABDC-B3E73F6094F4}"/>
</file>

<file path=customXml/itemProps3.xml><?xml version="1.0" encoding="utf-8"?>
<ds:datastoreItem xmlns:ds="http://schemas.openxmlformats.org/officeDocument/2006/customXml" ds:itemID="{853D451A-A607-4D8C-9C8A-7F992088E321}"/>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clover</dc:creator>
  <cp:lastModifiedBy>霙止</cp:lastModifiedBy>
  <cp:revision>1</cp:revision>
  <dcterms:created xsi:type="dcterms:W3CDTF">2022-03-14T11:10:00Z</dcterms:created>
  <dcterms:modified xsi:type="dcterms:W3CDTF">2023-03-09T09:23:31Z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04BD3F40542143CFB5FD1755A1E8CDA8</vt:lpwstr>
  </property>
  <property fmtid="{D5CDD505-2E9C-101B-9397-08002B2CF9AE}" pid="4" name="ContentTypeId">
    <vt:lpwstr>0x010100F798D51F8A742840BB547E04B2690631</vt:lpwstr>
  </property>
</Properties>
</file>